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6F4B1" w14:textId="41FB0946" w:rsidR="005E3E99" w:rsidRDefault="005E3E99" w:rsidP="005E3E99">
      <w:pPr>
        <w:pStyle w:val="Title"/>
        <w:ind w:right="-1274"/>
        <w:rPr>
          <w:rFonts w:eastAsia="Times New Roman"/>
          <w:b/>
          <w:color w:val="C45911" w:themeColor="accent2" w:themeShade="BF"/>
          <w:lang w:eastAsia="ja-JP"/>
        </w:rPr>
      </w:pPr>
      <w:r>
        <w:rPr>
          <w:rFonts w:eastAsia="Times New Roman"/>
          <w:b/>
          <w:noProof/>
          <w:color w:val="ED7D31" w:themeColor="accent2"/>
          <w:lang w:eastAsia="ja-JP"/>
        </w:rPr>
        <w:drawing>
          <wp:anchor distT="0" distB="0" distL="114300" distR="114300" simplePos="0" relativeHeight="251658240" behindDoc="0" locked="0" layoutInCell="1" allowOverlap="1" wp14:anchorId="346B0245" wp14:editId="7E9F2000">
            <wp:simplePos x="0" y="0"/>
            <wp:positionH relativeFrom="page">
              <wp:align>center</wp:align>
            </wp:positionH>
            <wp:positionV relativeFrom="topMargin">
              <wp:posOffset>152400</wp:posOffset>
            </wp:positionV>
            <wp:extent cx="2200910" cy="8572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91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FA290" w14:textId="77777777" w:rsidR="005E3E99" w:rsidRPr="005E3E99" w:rsidRDefault="005E3E99" w:rsidP="005E3E99">
      <w:pPr>
        <w:rPr>
          <w:lang w:eastAsia="ja-JP"/>
        </w:rPr>
      </w:pPr>
    </w:p>
    <w:p w14:paraId="11DAB953" w14:textId="47A77742" w:rsidR="005E3E99" w:rsidRDefault="005E3E99" w:rsidP="005E3E99">
      <w:pPr>
        <w:pStyle w:val="Title"/>
        <w:ind w:left="-851" w:right="-1274"/>
        <w:jc w:val="center"/>
        <w:rPr>
          <w:rFonts w:eastAsia="Times New Roman"/>
          <w:b/>
          <w:color w:val="C45911" w:themeColor="accent2" w:themeShade="BF"/>
          <w:lang w:eastAsia="ja-JP"/>
        </w:rPr>
      </w:pPr>
      <w:r w:rsidRPr="005E3E99">
        <w:rPr>
          <w:rFonts w:eastAsia="Times New Roman"/>
          <w:b/>
          <w:color w:val="C45911" w:themeColor="accent2" w:themeShade="BF"/>
          <w:lang w:eastAsia="ja-JP"/>
        </w:rPr>
        <w:t>Our Voice</w:t>
      </w:r>
    </w:p>
    <w:p w14:paraId="232B460E" w14:textId="33C0760F" w:rsidR="005E3E99" w:rsidRPr="005E3E99" w:rsidRDefault="005E3E99" w:rsidP="005E3E99">
      <w:pPr>
        <w:pStyle w:val="Title"/>
        <w:ind w:left="-851" w:right="-1274"/>
        <w:jc w:val="center"/>
        <w:rPr>
          <w:rFonts w:eastAsia="Times New Roman"/>
          <w:b/>
          <w:color w:val="C45911" w:themeColor="accent2" w:themeShade="BF"/>
          <w:lang w:eastAsia="ja-JP"/>
        </w:rPr>
      </w:pPr>
      <w:r w:rsidRPr="005E3E99">
        <w:rPr>
          <w:rFonts w:eastAsia="Times New Roman"/>
          <w:b/>
          <w:color w:val="C45911" w:themeColor="accent2" w:themeShade="BF"/>
          <w:lang w:eastAsia="ja-JP"/>
        </w:rPr>
        <w:t>Meet the SEND Heads Parents’ Conference</w:t>
      </w:r>
    </w:p>
    <w:p w14:paraId="5EEFD537" w14:textId="20CCD4D1" w:rsidR="005E3E99" w:rsidRPr="005E3E99" w:rsidRDefault="005E3E99" w:rsidP="005E3E99">
      <w:pPr>
        <w:pStyle w:val="Title"/>
        <w:ind w:left="-426" w:firstLine="142"/>
        <w:jc w:val="center"/>
        <w:rPr>
          <w:rFonts w:eastAsia="Times New Roman"/>
          <w:b/>
          <w:color w:val="C45911" w:themeColor="accent2" w:themeShade="BF"/>
          <w:lang w:eastAsia="ja-JP"/>
        </w:rPr>
      </w:pPr>
      <w:r w:rsidRPr="005E3E99">
        <w:rPr>
          <w:rFonts w:eastAsia="Times New Roman"/>
          <w:b/>
          <w:color w:val="C45911" w:themeColor="accent2" w:themeShade="BF"/>
          <w:lang w:eastAsia="ja-JP"/>
        </w:rPr>
        <w:t>Tuesday 5</w:t>
      </w:r>
      <w:r w:rsidRPr="005E3E99">
        <w:rPr>
          <w:rFonts w:eastAsia="Times New Roman"/>
          <w:b/>
          <w:color w:val="C45911" w:themeColor="accent2" w:themeShade="BF"/>
          <w:vertAlign w:val="superscript"/>
          <w:lang w:eastAsia="ja-JP"/>
        </w:rPr>
        <w:t>th</w:t>
      </w:r>
      <w:r w:rsidRPr="005E3E99">
        <w:rPr>
          <w:rFonts w:eastAsia="Times New Roman"/>
          <w:b/>
          <w:color w:val="C45911" w:themeColor="accent2" w:themeShade="BF"/>
          <w:lang w:eastAsia="ja-JP"/>
        </w:rPr>
        <w:t xml:space="preserve"> February</w:t>
      </w:r>
    </w:p>
    <w:tbl>
      <w:tblPr>
        <w:tblStyle w:val="GridTable2-Accent11"/>
        <w:tblpPr w:leftFromText="180" w:rightFromText="180" w:vertAnchor="text" w:horzAnchor="margin" w:tblpXSpec="center" w:tblpY="63"/>
        <w:tblW w:w="11165" w:type="dxa"/>
        <w:tblLook w:val="04A0" w:firstRow="1" w:lastRow="0" w:firstColumn="1" w:lastColumn="0" w:noHBand="0" w:noVBand="1"/>
      </w:tblPr>
      <w:tblGrid>
        <w:gridCol w:w="1941"/>
        <w:gridCol w:w="2953"/>
        <w:gridCol w:w="4639"/>
        <w:gridCol w:w="1632"/>
      </w:tblGrid>
      <w:tr w:rsidR="005E3E99" w:rsidRPr="005E3E99" w14:paraId="1FAC1CFA" w14:textId="77777777" w:rsidTr="005E3E99">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41" w:type="dxa"/>
          </w:tcPr>
          <w:p w14:paraId="6DD98CED" w14:textId="7CC9E439" w:rsidR="005E3E99" w:rsidRPr="005E3E99" w:rsidRDefault="005E3E99" w:rsidP="005E3E99">
            <w:pPr>
              <w:rPr>
                <w:rFonts w:ascii="Arial" w:hAnsi="Arial" w:cs="Times New Roman"/>
              </w:rPr>
            </w:pPr>
          </w:p>
        </w:tc>
        <w:tc>
          <w:tcPr>
            <w:tcW w:w="2953" w:type="dxa"/>
          </w:tcPr>
          <w:p w14:paraId="4E0049E5" w14:textId="1FACE44F" w:rsidR="005E3E99" w:rsidRPr="005E3E99" w:rsidRDefault="005E3E99" w:rsidP="005E3E99">
            <w:pPr>
              <w:cnfStyle w:val="100000000000" w:firstRow="1" w:lastRow="0" w:firstColumn="0" w:lastColumn="0" w:oddVBand="0" w:evenVBand="0" w:oddHBand="0" w:evenHBand="0" w:firstRowFirstColumn="0" w:firstRowLastColumn="0" w:lastRowFirstColumn="0" w:lastRowLastColumn="0"/>
              <w:rPr>
                <w:rFonts w:ascii="Arial" w:hAnsi="Arial" w:cs="Times New Roman"/>
              </w:rPr>
            </w:pPr>
          </w:p>
        </w:tc>
        <w:tc>
          <w:tcPr>
            <w:tcW w:w="4639" w:type="dxa"/>
          </w:tcPr>
          <w:p w14:paraId="696E5505" w14:textId="77777777" w:rsidR="005E3E99" w:rsidRPr="005E3E99" w:rsidRDefault="005E3E99" w:rsidP="005E3E99">
            <w:pPr>
              <w:cnfStyle w:val="100000000000" w:firstRow="1" w:lastRow="0" w:firstColumn="0" w:lastColumn="0" w:oddVBand="0" w:evenVBand="0" w:oddHBand="0" w:evenHBand="0" w:firstRowFirstColumn="0" w:firstRowLastColumn="0" w:lastRowFirstColumn="0" w:lastRowLastColumn="0"/>
              <w:rPr>
                <w:rFonts w:ascii="Arial" w:hAnsi="Arial" w:cs="Times New Roman"/>
              </w:rPr>
            </w:pPr>
          </w:p>
        </w:tc>
        <w:tc>
          <w:tcPr>
            <w:tcW w:w="1632" w:type="dxa"/>
          </w:tcPr>
          <w:p w14:paraId="48C098A0" w14:textId="4A48D3EA" w:rsidR="005E3E99" w:rsidRPr="005E3E99" w:rsidRDefault="005E3E99" w:rsidP="005E3E99">
            <w:pPr>
              <w:cnfStyle w:val="100000000000" w:firstRow="1" w:lastRow="0" w:firstColumn="0" w:lastColumn="0" w:oddVBand="0" w:evenVBand="0" w:oddHBand="0" w:evenHBand="0" w:firstRowFirstColumn="0" w:firstRowLastColumn="0" w:lastRowFirstColumn="0" w:lastRowLastColumn="0"/>
              <w:rPr>
                <w:rFonts w:ascii="Arial" w:hAnsi="Arial" w:cs="Times New Roman"/>
              </w:rPr>
            </w:pPr>
          </w:p>
        </w:tc>
      </w:tr>
      <w:tr w:rsidR="005E3E99" w:rsidRPr="005E3E99" w14:paraId="37996D1D" w14:textId="77777777" w:rsidTr="005E3E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41" w:type="dxa"/>
          </w:tcPr>
          <w:p w14:paraId="28E0570C" w14:textId="77777777" w:rsidR="005E3E99" w:rsidRPr="005E3E99" w:rsidRDefault="005E3E99" w:rsidP="005E3E99">
            <w:pPr>
              <w:rPr>
                <w:rFonts w:ascii="Arial" w:hAnsi="Arial" w:cs="Times New Roman"/>
              </w:rPr>
            </w:pPr>
            <w:r w:rsidRPr="005E3E99">
              <w:rPr>
                <w:rFonts w:ascii="Arial" w:hAnsi="Arial" w:cs="Times New Roman"/>
              </w:rPr>
              <w:t>9.30 – 10</w:t>
            </w:r>
          </w:p>
        </w:tc>
        <w:tc>
          <w:tcPr>
            <w:tcW w:w="9224" w:type="dxa"/>
            <w:gridSpan w:val="3"/>
          </w:tcPr>
          <w:p w14:paraId="417831FD" w14:textId="77777777" w:rsidR="005E3E99" w:rsidRPr="005E3E99" w:rsidRDefault="005E3E99" w:rsidP="005E3E99">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E3E99">
              <w:rPr>
                <w:rFonts w:ascii="Arial" w:hAnsi="Arial" w:cs="Times New Roman"/>
              </w:rPr>
              <w:t>Registration</w:t>
            </w:r>
          </w:p>
          <w:p w14:paraId="3B228D74" w14:textId="77777777" w:rsidR="005E3E99" w:rsidRPr="005E3E99" w:rsidRDefault="005E3E99" w:rsidP="005E3E99">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p>
        </w:tc>
      </w:tr>
      <w:tr w:rsidR="005E3E99" w:rsidRPr="005E3E99" w14:paraId="2BB24E12" w14:textId="77777777" w:rsidTr="00B54388">
        <w:trPr>
          <w:trHeight w:val="1389"/>
        </w:trPr>
        <w:tc>
          <w:tcPr>
            <w:cnfStyle w:val="001000000000" w:firstRow="0" w:lastRow="0" w:firstColumn="1" w:lastColumn="0" w:oddVBand="0" w:evenVBand="0" w:oddHBand="0" w:evenHBand="0" w:firstRowFirstColumn="0" w:firstRowLastColumn="0" w:lastRowFirstColumn="0" w:lastRowLastColumn="0"/>
            <w:tcW w:w="1941" w:type="dxa"/>
          </w:tcPr>
          <w:p w14:paraId="13FBC070" w14:textId="77777777" w:rsidR="005E3E99" w:rsidRPr="005E3E99" w:rsidRDefault="005E3E99" w:rsidP="005E3E99">
            <w:pPr>
              <w:rPr>
                <w:rFonts w:ascii="Arial" w:hAnsi="Arial" w:cs="Times New Roman"/>
              </w:rPr>
            </w:pPr>
            <w:r w:rsidRPr="005E3E99">
              <w:rPr>
                <w:rFonts w:ascii="Arial" w:hAnsi="Arial" w:cs="Times New Roman"/>
              </w:rPr>
              <w:t>10 – 11.15</w:t>
            </w:r>
          </w:p>
        </w:tc>
        <w:tc>
          <w:tcPr>
            <w:tcW w:w="2953" w:type="dxa"/>
          </w:tcPr>
          <w:p w14:paraId="14BB2BBF" w14:textId="77777777" w:rsidR="005E3E99" w:rsidRDefault="005E3E99" w:rsidP="005E3E99">
            <w:pP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5E3E99">
              <w:rPr>
                <w:rFonts w:ascii="Arial" w:hAnsi="Arial" w:cs="Times New Roman"/>
              </w:rPr>
              <w:t xml:space="preserve">Introductory presentations </w:t>
            </w:r>
          </w:p>
          <w:p w14:paraId="26BFD512" w14:textId="77777777" w:rsidR="005E3E99" w:rsidRDefault="005E3E99" w:rsidP="005E3E99">
            <w:pPr>
              <w:cnfStyle w:val="000000000000" w:firstRow="0" w:lastRow="0" w:firstColumn="0" w:lastColumn="0" w:oddVBand="0" w:evenVBand="0" w:oddHBand="0" w:evenHBand="0" w:firstRowFirstColumn="0" w:firstRowLastColumn="0" w:lastRowFirstColumn="0" w:lastRowLastColumn="0"/>
              <w:rPr>
                <w:rFonts w:ascii="Arial" w:hAnsi="Arial" w:cs="Times New Roman"/>
              </w:rPr>
            </w:pPr>
          </w:p>
          <w:p w14:paraId="332C9928" w14:textId="77777777" w:rsidR="005E3E99" w:rsidRDefault="005E3E99" w:rsidP="005E3E99">
            <w:pPr>
              <w:cnfStyle w:val="000000000000" w:firstRow="0" w:lastRow="0" w:firstColumn="0" w:lastColumn="0" w:oddVBand="0" w:evenVBand="0" w:oddHBand="0" w:evenHBand="0" w:firstRowFirstColumn="0" w:firstRowLastColumn="0" w:lastRowFirstColumn="0" w:lastRowLastColumn="0"/>
              <w:rPr>
                <w:rFonts w:ascii="Arial" w:hAnsi="Arial" w:cs="Times New Roman"/>
              </w:rPr>
            </w:pPr>
          </w:p>
          <w:p w14:paraId="3C12466E" w14:textId="23BC9975" w:rsidR="005E3E99" w:rsidRPr="005E3E99" w:rsidRDefault="005E3E99" w:rsidP="005E3E99">
            <w:pPr>
              <w:cnfStyle w:val="000000000000" w:firstRow="0" w:lastRow="0" w:firstColumn="0" w:lastColumn="0" w:oddVBand="0" w:evenVBand="0" w:oddHBand="0" w:evenHBand="0" w:firstRowFirstColumn="0" w:firstRowLastColumn="0" w:lastRowFirstColumn="0" w:lastRowLastColumn="0"/>
              <w:rPr>
                <w:rFonts w:ascii="Arial" w:hAnsi="Arial" w:cs="Times New Roman"/>
              </w:rPr>
            </w:pPr>
          </w:p>
        </w:tc>
        <w:tc>
          <w:tcPr>
            <w:tcW w:w="6271" w:type="dxa"/>
            <w:gridSpan w:val="2"/>
          </w:tcPr>
          <w:p w14:paraId="0078A5AA" w14:textId="118C58D6" w:rsidR="005E3E99" w:rsidRDefault="005E3E99" w:rsidP="005E3E99">
            <w:pP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5E3E99">
              <w:rPr>
                <w:rFonts w:ascii="Arial" w:hAnsi="Arial" w:cs="Times New Roman"/>
              </w:rPr>
              <w:t xml:space="preserve">Introduction from Our Voice Chair and the Director of Children and Family Services. </w:t>
            </w:r>
          </w:p>
          <w:p w14:paraId="5038D15F" w14:textId="77777777" w:rsidR="005E3E99" w:rsidRPr="005E3E99" w:rsidRDefault="005E3E99" w:rsidP="005E3E99">
            <w:pPr>
              <w:cnfStyle w:val="000000000000" w:firstRow="0" w:lastRow="0" w:firstColumn="0" w:lastColumn="0" w:oddVBand="0" w:evenVBand="0" w:oddHBand="0" w:evenHBand="0" w:firstRowFirstColumn="0" w:firstRowLastColumn="0" w:lastRowFirstColumn="0" w:lastRowLastColumn="0"/>
              <w:rPr>
                <w:rFonts w:ascii="Arial" w:hAnsi="Arial" w:cs="Times New Roman"/>
              </w:rPr>
            </w:pPr>
          </w:p>
          <w:p w14:paraId="2F781A1D" w14:textId="77777777" w:rsidR="005E3E99" w:rsidRPr="005E3E99" w:rsidRDefault="005E3E99" w:rsidP="005E3E99">
            <w:pP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5E3E99">
              <w:rPr>
                <w:rFonts w:ascii="Arial" w:hAnsi="Arial" w:cs="Times New Roman"/>
              </w:rPr>
              <w:t xml:space="preserve">Service Area Heads will each give a brief presentation on developments in their area. </w:t>
            </w:r>
          </w:p>
          <w:p w14:paraId="5AD8BA6E" w14:textId="77777777" w:rsidR="005E3E99" w:rsidRDefault="005E3E99" w:rsidP="005E3E99">
            <w:pPr>
              <w:cnfStyle w:val="000000000000" w:firstRow="0" w:lastRow="0" w:firstColumn="0" w:lastColumn="0" w:oddVBand="0" w:evenVBand="0" w:oddHBand="0" w:evenHBand="0" w:firstRowFirstColumn="0" w:firstRowLastColumn="0" w:lastRowFirstColumn="0" w:lastRowLastColumn="0"/>
              <w:rPr>
                <w:rFonts w:ascii="Arial" w:hAnsi="Arial" w:cs="Times New Roman"/>
              </w:rPr>
            </w:pPr>
          </w:p>
          <w:p w14:paraId="17BF948B" w14:textId="5CAAE914" w:rsidR="005E3E99" w:rsidRPr="005E3E99" w:rsidRDefault="005E3E99" w:rsidP="005E3E99">
            <w:pPr>
              <w:cnfStyle w:val="000000000000" w:firstRow="0" w:lastRow="0" w:firstColumn="0" w:lastColumn="0" w:oddVBand="0" w:evenVBand="0" w:oddHBand="0" w:evenHBand="0" w:firstRowFirstColumn="0" w:firstRowLastColumn="0" w:lastRowFirstColumn="0" w:lastRowLastColumn="0"/>
              <w:rPr>
                <w:rFonts w:ascii="Arial" w:hAnsi="Arial" w:cs="Times New Roman"/>
                <w:b/>
              </w:rPr>
            </w:pPr>
            <w:r w:rsidRPr="00665F60">
              <w:rPr>
                <w:rFonts w:ascii="Arial" w:hAnsi="Arial" w:cs="Times New Roman"/>
                <w:b/>
                <w:color w:val="538135" w:themeColor="accent6" w:themeShade="BF"/>
              </w:rPr>
              <w:t>Room 2/3</w:t>
            </w:r>
          </w:p>
        </w:tc>
      </w:tr>
      <w:tr w:rsidR="005E3E99" w:rsidRPr="005E3E99" w14:paraId="2BE51817" w14:textId="77777777" w:rsidTr="00EC6DB8">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941" w:type="dxa"/>
          </w:tcPr>
          <w:p w14:paraId="7269DD81" w14:textId="77777777" w:rsidR="005E3E99" w:rsidRPr="005E3E99" w:rsidRDefault="005E3E99" w:rsidP="005E3E99">
            <w:pPr>
              <w:rPr>
                <w:rFonts w:ascii="Arial" w:hAnsi="Arial" w:cs="Times New Roman"/>
              </w:rPr>
            </w:pPr>
            <w:r w:rsidRPr="005E3E99">
              <w:rPr>
                <w:rFonts w:ascii="Arial" w:hAnsi="Arial" w:cs="Times New Roman"/>
              </w:rPr>
              <w:t>11.15 – 11.45</w:t>
            </w:r>
          </w:p>
        </w:tc>
        <w:tc>
          <w:tcPr>
            <w:tcW w:w="2953" w:type="dxa"/>
          </w:tcPr>
          <w:p w14:paraId="5BBD1AC5" w14:textId="77777777" w:rsid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E3E99">
              <w:rPr>
                <w:rFonts w:ascii="Arial" w:hAnsi="Arial" w:cs="Times New Roman"/>
              </w:rPr>
              <w:t xml:space="preserve">Panel Q&amp;A session </w:t>
            </w:r>
          </w:p>
          <w:p w14:paraId="51A1A246" w14:textId="77777777" w:rsid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p>
          <w:p w14:paraId="62639D51" w14:textId="4D318C59"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p>
        </w:tc>
        <w:tc>
          <w:tcPr>
            <w:tcW w:w="6271" w:type="dxa"/>
            <w:gridSpan w:val="2"/>
          </w:tcPr>
          <w:p w14:paraId="7AD729C1" w14:textId="77777777"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E3E99">
              <w:rPr>
                <w:rFonts w:ascii="Arial" w:hAnsi="Arial" w:cs="Times New Roman"/>
              </w:rPr>
              <w:t xml:space="preserve">Panel of all Service Area Heads will respond to questions from parents and carers. </w:t>
            </w:r>
          </w:p>
          <w:p w14:paraId="563702DB" w14:textId="77777777" w:rsid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p>
          <w:p w14:paraId="76EAE1CB" w14:textId="2BA0A6F3"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b/>
              </w:rPr>
            </w:pPr>
            <w:r w:rsidRPr="00665F60">
              <w:rPr>
                <w:rFonts w:ascii="Arial" w:hAnsi="Arial" w:cs="Times New Roman"/>
                <w:b/>
                <w:color w:val="538135" w:themeColor="accent6" w:themeShade="BF"/>
              </w:rPr>
              <w:t xml:space="preserve">Room 2/3 </w:t>
            </w:r>
          </w:p>
        </w:tc>
      </w:tr>
      <w:tr w:rsidR="005E3E99" w:rsidRPr="005E3E99" w14:paraId="3CFFD877" w14:textId="77777777" w:rsidTr="005E3E99">
        <w:trPr>
          <w:trHeight w:val="576"/>
        </w:trPr>
        <w:tc>
          <w:tcPr>
            <w:cnfStyle w:val="001000000000" w:firstRow="0" w:lastRow="0" w:firstColumn="1" w:lastColumn="0" w:oddVBand="0" w:evenVBand="0" w:oddHBand="0" w:evenHBand="0" w:firstRowFirstColumn="0" w:firstRowLastColumn="0" w:lastRowFirstColumn="0" w:lastRowLastColumn="0"/>
            <w:tcW w:w="1941" w:type="dxa"/>
          </w:tcPr>
          <w:p w14:paraId="2908F9EF" w14:textId="77777777" w:rsidR="005E3E99" w:rsidRDefault="005E3E99" w:rsidP="005E3E99">
            <w:pPr>
              <w:rPr>
                <w:rFonts w:ascii="Arial" w:hAnsi="Arial" w:cs="Times New Roman"/>
                <w:b w:val="0"/>
                <w:bCs w:val="0"/>
              </w:rPr>
            </w:pPr>
          </w:p>
          <w:p w14:paraId="0EDA0133" w14:textId="5E98DAA6" w:rsidR="005E3E99" w:rsidRPr="005E3E99" w:rsidRDefault="005E3E99" w:rsidP="005E3E99">
            <w:pPr>
              <w:rPr>
                <w:rFonts w:ascii="Arial" w:hAnsi="Arial" w:cs="Times New Roman"/>
              </w:rPr>
            </w:pPr>
            <w:r w:rsidRPr="005E3E99">
              <w:rPr>
                <w:rFonts w:ascii="Arial" w:hAnsi="Arial" w:cs="Times New Roman"/>
              </w:rPr>
              <w:t>11.45 – 12.00</w:t>
            </w:r>
          </w:p>
        </w:tc>
        <w:tc>
          <w:tcPr>
            <w:tcW w:w="9224" w:type="dxa"/>
            <w:gridSpan w:val="3"/>
          </w:tcPr>
          <w:p w14:paraId="4F6462CE" w14:textId="77777777" w:rsidR="005E3E99" w:rsidRDefault="005E3E99" w:rsidP="005E3E99">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p>
          <w:p w14:paraId="5C6CC902" w14:textId="58690151" w:rsidR="005E3E99" w:rsidRPr="005E3E99" w:rsidRDefault="005E3E99" w:rsidP="005E3E99">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5E3E99">
              <w:rPr>
                <w:rFonts w:ascii="Arial" w:hAnsi="Arial" w:cs="Times New Roman"/>
              </w:rPr>
              <w:t>Coffee break</w:t>
            </w:r>
          </w:p>
          <w:p w14:paraId="54683681" w14:textId="77777777" w:rsidR="005E3E99" w:rsidRPr="005E3E99" w:rsidRDefault="005E3E99" w:rsidP="005E3E99">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p>
        </w:tc>
      </w:tr>
      <w:tr w:rsidR="005E3E99" w:rsidRPr="005E3E99" w14:paraId="28E1653A" w14:textId="77777777" w:rsidTr="005E3E99">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1941" w:type="dxa"/>
          </w:tcPr>
          <w:p w14:paraId="3E2032C2" w14:textId="77777777" w:rsidR="005E3E99" w:rsidRPr="005E3E99" w:rsidRDefault="005E3E99" w:rsidP="005E3E99">
            <w:pPr>
              <w:rPr>
                <w:rFonts w:ascii="Arial" w:hAnsi="Arial" w:cs="Times New Roman"/>
              </w:rPr>
            </w:pPr>
            <w:r w:rsidRPr="005E3E99">
              <w:rPr>
                <w:rFonts w:ascii="Arial" w:hAnsi="Arial" w:cs="Times New Roman"/>
              </w:rPr>
              <w:t>12 .00– 1.00</w:t>
            </w:r>
          </w:p>
        </w:tc>
        <w:tc>
          <w:tcPr>
            <w:tcW w:w="2953" w:type="dxa"/>
          </w:tcPr>
          <w:p w14:paraId="74481B08" w14:textId="77777777"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E3E99">
              <w:rPr>
                <w:rFonts w:ascii="Arial" w:hAnsi="Arial" w:cs="Times New Roman"/>
              </w:rPr>
              <w:t xml:space="preserve">Choice of two Workshops each including time for group discussion </w:t>
            </w:r>
          </w:p>
          <w:p w14:paraId="0D420AF4" w14:textId="77777777"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p>
          <w:p w14:paraId="39AAEEA9" w14:textId="4EA8A78B" w:rsidR="005E3E99" w:rsidRPr="005E3E99" w:rsidRDefault="0035523B"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E3E99">
              <w:rPr>
                <w:rFonts w:ascii="Arial" w:hAnsi="Arial" w:cs="Times New Roman"/>
                <w:i/>
              </w:rPr>
              <w:t>See next page for a description of the workshop content.</w:t>
            </w:r>
            <w:bookmarkStart w:id="0" w:name="_GoBack"/>
            <w:bookmarkEnd w:id="0"/>
          </w:p>
        </w:tc>
        <w:tc>
          <w:tcPr>
            <w:tcW w:w="4639" w:type="dxa"/>
          </w:tcPr>
          <w:p w14:paraId="64EDAF02" w14:textId="6EAC9141" w:rsid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E3E99">
              <w:rPr>
                <w:rFonts w:ascii="Arial" w:hAnsi="Arial" w:cs="Times New Roman"/>
              </w:rPr>
              <w:t xml:space="preserve">Positive Behaviour Support </w:t>
            </w:r>
          </w:p>
          <w:p w14:paraId="6D4D5695" w14:textId="77777777" w:rsid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p>
          <w:p w14:paraId="6D928FD3" w14:textId="31DC621C"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b/>
                <w:color w:val="538135" w:themeColor="accent6" w:themeShade="BF"/>
              </w:rPr>
            </w:pPr>
            <w:r w:rsidRPr="00665F60">
              <w:rPr>
                <w:rFonts w:ascii="Arial" w:hAnsi="Arial" w:cs="Times New Roman"/>
                <w:b/>
                <w:color w:val="538135" w:themeColor="accent6" w:themeShade="BF"/>
              </w:rPr>
              <w:t>Room 2/3</w:t>
            </w:r>
          </w:p>
          <w:p w14:paraId="2AA487F7" w14:textId="77777777"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p>
          <w:p w14:paraId="0500E161" w14:textId="77777777"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E3E99">
              <w:rPr>
                <w:rFonts w:ascii="Arial" w:hAnsi="Arial" w:cs="Times New Roman"/>
              </w:rPr>
              <w:t xml:space="preserve">OR </w:t>
            </w:r>
          </w:p>
          <w:p w14:paraId="0DD30721" w14:textId="77777777"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p>
          <w:p w14:paraId="73C53C00" w14:textId="4AFF8897" w:rsid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E3E99">
              <w:rPr>
                <w:rFonts w:ascii="Arial" w:hAnsi="Arial" w:cs="Times New Roman"/>
              </w:rPr>
              <w:t>Finding SEND information (the ‘Local Offer’)</w:t>
            </w:r>
          </w:p>
          <w:p w14:paraId="4827E970" w14:textId="77777777"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i/>
              </w:rPr>
            </w:pPr>
          </w:p>
          <w:p w14:paraId="709BC2FC" w14:textId="15BAF9B9"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b/>
              </w:rPr>
            </w:pPr>
            <w:r w:rsidRPr="00665F60">
              <w:rPr>
                <w:rFonts w:ascii="Arial" w:hAnsi="Arial" w:cs="Times New Roman"/>
                <w:b/>
                <w:color w:val="538135" w:themeColor="accent6" w:themeShade="BF"/>
              </w:rPr>
              <w:t xml:space="preserve">Room 4 </w:t>
            </w:r>
          </w:p>
        </w:tc>
        <w:tc>
          <w:tcPr>
            <w:tcW w:w="1632" w:type="dxa"/>
          </w:tcPr>
          <w:p w14:paraId="0A373EE6" w14:textId="3E334CB2" w:rsid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E3E99">
              <w:rPr>
                <w:rFonts w:ascii="Arial" w:hAnsi="Arial" w:cs="Times New Roman"/>
              </w:rPr>
              <w:t xml:space="preserve">One-to-one sessions will run alongside the workshops </w:t>
            </w:r>
          </w:p>
          <w:p w14:paraId="51122ECA" w14:textId="77777777" w:rsid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p>
          <w:p w14:paraId="22942879" w14:textId="178FEA81"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b/>
              </w:rPr>
            </w:pPr>
            <w:r w:rsidRPr="00665F60">
              <w:rPr>
                <w:rFonts w:ascii="Arial" w:hAnsi="Arial" w:cs="Times New Roman"/>
                <w:b/>
                <w:color w:val="538135" w:themeColor="accent6" w:themeShade="BF"/>
              </w:rPr>
              <w:t xml:space="preserve">Room 1 </w:t>
            </w:r>
          </w:p>
        </w:tc>
      </w:tr>
      <w:tr w:rsidR="005E3E99" w:rsidRPr="005E3E99" w14:paraId="2BA0BDB2" w14:textId="77777777" w:rsidTr="005E3E99">
        <w:trPr>
          <w:trHeight w:val="576"/>
        </w:trPr>
        <w:tc>
          <w:tcPr>
            <w:cnfStyle w:val="001000000000" w:firstRow="0" w:lastRow="0" w:firstColumn="1" w:lastColumn="0" w:oddVBand="0" w:evenVBand="0" w:oddHBand="0" w:evenHBand="0" w:firstRowFirstColumn="0" w:firstRowLastColumn="0" w:lastRowFirstColumn="0" w:lastRowLastColumn="0"/>
            <w:tcW w:w="1941" w:type="dxa"/>
          </w:tcPr>
          <w:p w14:paraId="0A5AC7CE" w14:textId="77777777" w:rsidR="005E3E99" w:rsidRDefault="005E3E99" w:rsidP="005E3E99">
            <w:pPr>
              <w:rPr>
                <w:rFonts w:ascii="Arial" w:hAnsi="Arial" w:cs="Times New Roman"/>
                <w:b w:val="0"/>
                <w:bCs w:val="0"/>
              </w:rPr>
            </w:pPr>
          </w:p>
          <w:p w14:paraId="69F52F8B" w14:textId="592F65A1" w:rsidR="005E3E99" w:rsidRPr="005E3E99" w:rsidRDefault="005E3E99" w:rsidP="005E3E99">
            <w:pPr>
              <w:rPr>
                <w:rFonts w:ascii="Arial" w:hAnsi="Arial" w:cs="Times New Roman"/>
              </w:rPr>
            </w:pPr>
            <w:r w:rsidRPr="005E3E99">
              <w:rPr>
                <w:rFonts w:ascii="Arial" w:hAnsi="Arial" w:cs="Times New Roman"/>
              </w:rPr>
              <w:t>1.00- 1.30</w:t>
            </w:r>
          </w:p>
        </w:tc>
        <w:tc>
          <w:tcPr>
            <w:tcW w:w="9224" w:type="dxa"/>
            <w:gridSpan w:val="3"/>
          </w:tcPr>
          <w:p w14:paraId="0FB34448" w14:textId="77777777" w:rsidR="005E3E99" w:rsidRDefault="005E3E99" w:rsidP="005E3E99">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p>
          <w:p w14:paraId="7E2DE0A7" w14:textId="57AFD60B" w:rsidR="005E3E99" w:rsidRPr="005E3E99" w:rsidRDefault="005E3E99" w:rsidP="005E3E99">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5E3E99">
              <w:rPr>
                <w:rFonts w:ascii="Arial" w:hAnsi="Arial" w:cs="Times New Roman"/>
              </w:rPr>
              <w:t>Lunch break</w:t>
            </w:r>
          </w:p>
          <w:p w14:paraId="41105BDB" w14:textId="77777777" w:rsidR="005E3E99" w:rsidRPr="005E3E99" w:rsidRDefault="005E3E99" w:rsidP="005E3E99">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p>
        </w:tc>
      </w:tr>
      <w:tr w:rsidR="005E3E99" w:rsidRPr="005E3E99" w14:paraId="35EDA948" w14:textId="77777777" w:rsidTr="005E3E99">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1941" w:type="dxa"/>
          </w:tcPr>
          <w:p w14:paraId="509A2709" w14:textId="77777777" w:rsidR="005E3E99" w:rsidRPr="005E3E99" w:rsidRDefault="005E3E99" w:rsidP="005E3E99">
            <w:pPr>
              <w:rPr>
                <w:rFonts w:ascii="Arial" w:hAnsi="Arial" w:cs="Times New Roman"/>
              </w:rPr>
            </w:pPr>
            <w:r w:rsidRPr="005E3E99">
              <w:rPr>
                <w:rFonts w:ascii="Arial" w:hAnsi="Arial" w:cs="Times New Roman"/>
              </w:rPr>
              <w:t>1.30 – 2.30</w:t>
            </w:r>
          </w:p>
        </w:tc>
        <w:tc>
          <w:tcPr>
            <w:tcW w:w="2953" w:type="dxa"/>
          </w:tcPr>
          <w:p w14:paraId="44D86826" w14:textId="77777777"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E3E99">
              <w:rPr>
                <w:rFonts w:ascii="Arial" w:hAnsi="Arial" w:cs="Times New Roman"/>
              </w:rPr>
              <w:t xml:space="preserve">Choice of two workshops each including time for group discussion </w:t>
            </w:r>
          </w:p>
          <w:p w14:paraId="3D205884" w14:textId="77777777"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p>
          <w:p w14:paraId="1CF08A36" w14:textId="77777777"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E3E99">
              <w:rPr>
                <w:rFonts w:ascii="Arial" w:hAnsi="Arial" w:cs="Times New Roman"/>
                <w:i/>
              </w:rPr>
              <w:t>See next page for a description of the workshop content.</w:t>
            </w:r>
          </w:p>
        </w:tc>
        <w:tc>
          <w:tcPr>
            <w:tcW w:w="4639" w:type="dxa"/>
          </w:tcPr>
          <w:p w14:paraId="70EB8665" w14:textId="77777777" w:rsid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E3E99">
              <w:rPr>
                <w:rFonts w:ascii="Arial" w:hAnsi="Arial" w:cs="Times New Roman"/>
              </w:rPr>
              <w:t xml:space="preserve">Speech and Language </w:t>
            </w:r>
          </w:p>
          <w:p w14:paraId="2450E9E8" w14:textId="77777777" w:rsid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p>
          <w:p w14:paraId="52F2ED51" w14:textId="4F2A2AC5"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b/>
                <w:color w:val="538135" w:themeColor="accent6" w:themeShade="BF"/>
              </w:rPr>
            </w:pPr>
            <w:r w:rsidRPr="00665F60">
              <w:rPr>
                <w:rFonts w:ascii="Arial" w:hAnsi="Arial" w:cs="Times New Roman"/>
                <w:b/>
                <w:color w:val="538135" w:themeColor="accent6" w:themeShade="BF"/>
              </w:rPr>
              <w:t>Room 2/3</w:t>
            </w:r>
          </w:p>
          <w:p w14:paraId="4C872301" w14:textId="77777777"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p>
          <w:p w14:paraId="7756AA63" w14:textId="77777777"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E3E99">
              <w:rPr>
                <w:rFonts w:ascii="Arial" w:hAnsi="Arial" w:cs="Times New Roman"/>
              </w:rPr>
              <w:t xml:space="preserve">OR </w:t>
            </w:r>
          </w:p>
          <w:p w14:paraId="52D38DAD" w14:textId="77777777"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p>
          <w:p w14:paraId="34052915" w14:textId="77777777" w:rsid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i/>
              </w:rPr>
            </w:pPr>
            <w:r w:rsidRPr="005E3E99">
              <w:rPr>
                <w:rFonts w:ascii="Arial" w:hAnsi="Arial" w:cs="Times New Roman"/>
              </w:rPr>
              <w:t>Moving on (for parents of children aged 14 and over)</w:t>
            </w:r>
            <w:r>
              <w:rPr>
                <w:rFonts w:ascii="Arial" w:hAnsi="Arial" w:cs="Times New Roman"/>
              </w:rPr>
              <w:t xml:space="preserve"> in </w:t>
            </w:r>
            <w:r w:rsidRPr="005E3E99">
              <w:rPr>
                <w:rFonts w:ascii="Arial" w:hAnsi="Arial" w:cs="Times New Roman"/>
                <w:i/>
              </w:rPr>
              <w:t xml:space="preserve"> </w:t>
            </w:r>
          </w:p>
          <w:p w14:paraId="0F4593D2" w14:textId="77777777" w:rsid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p>
          <w:p w14:paraId="18EF0D7A" w14:textId="7B448BB8"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b/>
                <w:color w:val="538135" w:themeColor="accent6" w:themeShade="BF"/>
              </w:rPr>
            </w:pPr>
            <w:r w:rsidRPr="00665F60">
              <w:rPr>
                <w:rFonts w:ascii="Arial" w:hAnsi="Arial" w:cs="Times New Roman"/>
                <w:b/>
                <w:color w:val="538135" w:themeColor="accent6" w:themeShade="BF"/>
              </w:rPr>
              <w:t xml:space="preserve">Room 4 </w:t>
            </w:r>
          </w:p>
          <w:p w14:paraId="532C59F1" w14:textId="77777777"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i/>
              </w:rPr>
            </w:pPr>
          </w:p>
        </w:tc>
        <w:tc>
          <w:tcPr>
            <w:tcW w:w="1632" w:type="dxa"/>
          </w:tcPr>
          <w:p w14:paraId="0C8AFED5" w14:textId="4199EB53" w:rsid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E3E99">
              <w:rPr>
                <w:rFonts w:ascii="Arial" w:hAnsi="Arial" w:cs="Times New Roman"/>
              </w:rPr>
              <w:t xml:space="preserve">One-to-one sessions will run alongside the workshops </w:t>
            </w:r>
          </w:p>
          <w:p w14:paraId="48E5B73A" w14:textId="77777777" w:rsid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rPr>
            </w:pPr>
          </w:p>
          <w:p w14:paraId="67835F58" w14:textId="7E7BF171" w:rsidR="005E3E99" w:rsidRPr="005E3E99" w:rsidRDefault="005E3E99" w:rsidP="005E3E99">
            <w:pPr>
              <w:cnfStyle w:val="000000100000" w:firstRow="0" w:lastRow="0" w:firstColumn="0" w:lastColumn="0" w:oddVBand="0" w:evenVBand="0" w:oddHBand="1" w:evenHBand="0" w:firstRowFirstColumn="0" w:firstRowLastColumn="0" w:lastRowFirstColumn="0" w:lastRowLastColumn="0"/>
              <w:rPr>
                <w:rFonts w:ascii="Arial" w:hAnsi="Arial" w:cs="Times New Roman"/>
                <w:b/>
              </w:rPr>
            </w:pPr>
            <w:r w:rsidRPr="00665F60">
              <w:rPr>
                <w:rFonts w:ascii="Arial" w:hAnsi="Arial" w:cs="Times New Roman"/>
                <w:b/>
                <w:color w:val="538135" w:themeColor="accent6" w:themeShade="BF"/>
              </w:rPr>
              <w:t xml:space="preserve">Room 1 </w:t>
            </w:r>
          </w:p>
        </w:tc>
      </w:tr>
    </w:tbl>
    <w:p w14:paraId="1357E088" w14:textId="77777777" w:rsidR="005E3E99" w:rsidRPr="005E3E99" w:rsidRDefault="005E3E99" w:rsidP="005E3E99">
      <w:pPr>
        <w:keepNext/>
        <w:keepLines/>
        <w:spacing w:before="40" w:after="0" w:line="240" w:lineRule="auto"/>
        <w:outlineLvl w:val="1"/>
        <w:rPr>
          <w:rFonts w:ascii="Arial" w:eastAsia="Times New Roman" w:hAnsi="Arial" w:cs="Times New Roman"/>
          <w:color w:val="00833B"/>
          <w:sz w:val="28"/>
          <w:szCs w:val="28"/>
          <w:lang w:eastAsia="ja-JP"/>
        </w:rPr>
      </w:pPr>
    </w:p>
    <w:p w14:paraId="557E2447" w14:textId="6D0D1936" w:rsidR="005E3E99" w:rsidRDefault="005E3E99">
      <w:r>
        <w:rPr>
          <w:noProof/>
        </w:rPr>
        <w:drawing>
          <wp:anchor distT="0" distB="0" distL="114300" distR="114300" simplePos="0" relativeHeight="251660288" behindDoc="1" locked="0" layoutInCell="1" allowOverlap="1" wp14:anchorId="5D15FD3C" wp14:editId="01657297">
            <wp:simplePos x="0" y="0"/>
            <wp:positionH relativeFrom="margin">
              <wp:align>center</wp:align>
            </wp:positionH>
            <wp:positionV relativeFrom="paragraph">
              <wp:posOffset>166370</wp:posOffset>
            </wp:positionV>
            <wp:extent cx="600075" cy="671830"/>
            <wp:effectExtent l="0" t="0" r="9525" b="0"/>
            <wp:wrapTight wrapText="bothSides">
              <wp:wrapPolygon edited="0">
                <wp:start x="0" y="0"/>
                <wp:lineTo x="0" y="20824"/>
                <wp:lineTo x="21257" y="20824"/>
                <wp:lineTo x="212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71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51E4CF" w14:textId="1F1AC65B" w:rsidR="005E3E99" w:rsidRDefault="005E3E99">
      <w:r>
        <w:t xml:space="preserve">Sponsored by the Angle House Foundation </w:t>
      </w:r>
    </w:p>
    <w:p w14:paraId="61385C96" w14:textId="4A44C3ED" w:rsidR="00A37F5C" w:rsidRDefault="00A37F5C"/>
    <w:p w14:paraId="20256EFF" w14:textId="7CA4FAF1" w:rsidR="00A37F5C" w:rsidRDefault="00A37F5C" w:rsidP="00A37F5C">
      <w:pPr>
        <w:pStyle w:val="Heading2"/>
        <w:rPr>
          <w:sz w:val="36"/>
          <w:szCs w:val="36"/>
        </w:rPr>
      </w:pPr>
      <w:r w:rsidRPr="00CB28E6">
        <w:rPr>
          <w:sz w:val="36"/>
          <w:szCs w:val="36"/>
        </w:rPr>
        <w:lastRenderedPageBreak/>
        <w:t xml:space="preserve">The workshops </w:t>
      </w:r>
    </w:p>
    <w:p w14:paraId="603BF3A6" w14:textId="77777777" w:rsidR="00A37F5C" w:rsidRPr="00A37F5C" w:rsidRDefault="00A37F5C" w:rsidP="00A37F5C">
      <w:pPr>
        <w:rPr>
          <w:lang w:eastAsia="ja-JP"/>
        </w:rPr>
      </w:pPr>
    </w:p>
    <w:tbl>
      <w:tblPr>
        <w:tblStyle w:val="TableGrid"/>
        <w:tblW w:w="10632" w:type="dxa"/>
        <w:tblInd w:w="-431" w:type="dxa"/>
        <w:tblLook w:val="04A0" w:firstRow="1" w:lastRow="0" w:firstColumn="1" w:lastColumn="0" w:noHBand="0" w:noVBand="1"/>
      </w:tblPr>
      <w:tblGrid>
        <w:gridCol w:w="5093"/>
        <w:gridCol w:w="5539"/>
      </w:tblGrid>
      <w:tr w:rsidR="00A37F5C" w14:paraId="7E32FB34" w14:textId="77777777" w:rsidTr="00A37F5C">
        <w:tc>
          <w:tcPr>
            <w:tcW w:w="10632" w:type="dxa"/>
            <w:gridSpan w:val="2"/>
          </w:tcPr>
          <w:p w14:paraId="571FE8CE" w14:textId="77777777" w:rsidR="00A37F5C" w:rsidRPr="00CB28E6" w:rsidRDefault="00A37F5C" w:rsidP="005D16ED">
            <w:pPr>
              <w:jc w:val="center"/>
              <w:rPr>
                <w:b/>
                <w:color w:val="A5A5A5" w:themeColor="accent3"/>
                <w:sz w:val="28"/>
                <w:szCs w:val="28"/>
              </w:rPr>
            </w:pPr>
            <w:r w:rsidRPr="00A37F5C">
              <w:rPr>
                <w:b/>
                <w:color w:val="ED7D31" w:themeColor="accent2"/>
                <w:sz w:val="28"/>
                <w:szCs w:val="28"/>
              </w:rPr>
              <w:t xml:space="preserve">12 noon to 1 pm </w:t>
            </w:r>
          </w:p>
        </w:tc>
      </w:tr>
      <w:tr w:rsidR="00A37F5C" w14:paraId="34FDBF5E" w14:textId="77777777" w:rsidTr="00A37F5C">
        <w:tc>
          <w:tcPr>
            <w:tcW w:w="5093" w:type="dxa"/>
          </w:tcPr>
          <w:p w14:paraId="04DBE7F7" w14:textId="77777777" w:rsidR="00A37F5C" w:rsidRDefault="00A37F5C" w:rsidP="005D16ED"/>
          <w:p w14:paraId="035E9BC4" w14:textId="77777777" w:rsidR="00A37F5C" w:rsidRDefault="00A37F5C" w:rsidP="005D16ED"/>
          <w:p w14:paraId="5F8A680C" w14:textId="77777777" w:rsidR="00A37F5C" w:rsidRDefault="00A37F5C" w:rsidP="005D16ED">
            <w:r>
              <w:rPr>
                <w:noProof/>
              </w:rPr>
              <w:drawing>
                <wp:inline distT="0" distB="0" distL="0" distR="0" wp14:anchorId="007591E1" wp14:editId="396A1897">
                  <wp:extent cx="2823509" cy="1585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012" cy="1598542"/>
                          </a:xfrm>
                          <a:prstGeom prst="rect">
                            <a:avLst/>
                          </a:prstGeom>
                          <a:noFill/>
                          <a:ln>
                            <a:noFill/>
                          </a:ln>
                        </pic:spPr>
                      </pic:pic>
                    </a:graphicData>
                  </a:graphic>
                </wp:inline>
              </w:drawing>
            </w:r>
          </w:p>
        </w:tc>
        <w:tc>
          <w:tcPr>
            <w:tcW w:w="5539" w:type="dxa"/>
          </w:tcPr>
          <w:p w14:paraId="5BC676E4" w14:textId="77777777" w:rsidR="00A37F5C" w:rsidRDefault="00A37F5C" w:rsidP="005D16ED">
            <w:pPr>
              <w:rPr>
                <w:b/>
                <w:color w:val="ED7D31" w:themeColor="accent2"/>
              </w:rPr>
            </w:pPr>
          </w:p>
          <w:p w14:paraId="67CBDD32" w14:textId="6E60B68C" w:rsidR="00A37F5C" w:rsidRDefault="00A37F5C" w:rsidP="005D16ED">
            <w:pPr>
              <w:rPr>
                <w:b/>
                <w:color w:val="ED7D31" w:themeColor="accent2"/>
              </w:rPr>
            </w:pPr>
            <w:r w:rsidRPr="00CB28E6">
              <w:rPr>
                <w:b/>
                <w:color w:val="ED7D31" w:themeColor="accent2"/>
              </w:rPr>
              <w:t xml:space="preserve">Positive Behaviour Support </w:t>
            </w:r>
            <w:r>
              <w:rPr>
                <w:b/>
                <w:color w:val="ED7D31" w:themeColor="accent2"/>
              </w:rPr>
              <w:t>(room 2/3)</w:t>
            </w:r>
          </w:p>
          <w:p w14:paraId="12F1B53D" w14:textId="77777777" w:rsidR="00A37F5C" w:rsidRPr="00CB28E6" w:rsidRDefault="00A37F5C" w:rsidP="005D16ED">
            <w:pPr>
              <w:rPr>
                <w:b/>
                <w:color w:val="ED7D31" w:themeColor="accent2"/>
              </w:rPr>
            </w:pPr>
          </w:p>
          <w:p w14:paraId="5DC2921E" w14:textId="77777777" w:rsidR="00A37F5C" w:rsidRDefault="00A37F5C" w:rsidP="005D16ED">
            <w:pPr>
              <w:shd w:val="clear" w:color="auto" w:fill="FFFFFF"/>
              <w:textAlignment w:val="baseline"/>
              <w:rPr>
                <w:rFonts w:ascii="Helvetica" w:eastAsia="Times New Roman" w:hAnsi="Helvetica" w:cs="Helvetica"/>
                <w:color w:val="212121"/>
                <w:sz w:val="20"/>
                <w:szCs w:val="20"/>
                <w:bdr w:val="none" w:sz="0" w:space="0" w:color="auto" w:frame="1"/>
                <w:lang w:eastAsia="en-GB"/>
              </w:rPr>
            </w:pPr>
            <w:r>
              <w:rPr>
                <w:rFonts w:ascii="Helvetica" w:eastAsia="Times New Roman" w:hAnsi="Helvetica" w:cs="Helvetica"/>
                <w:color w:val="212121"/>
                <w:sz w:val="20"/>
                <w:szCs w:val="20"/>
                <w:bdr w:val="none" w:sz="0" w:space="0" w:color="auto" w:frame="1"/>
                <w:lang w:eastAsia="en-GB"/>
              </w:rPr>
              <w:t xml:space="preserve">This workshop looks at how parents can use </w:t>
            </w:r>
            <w:r w:rsidRPr="00AE7091">
              <w:rPr>
                <w:rFonts w:ascii="Helvetica" w:eastAsia="Times New Roman" w:hAnsi="Helvetica" w:cs="Helvetica"/>
                <w:color w:val="212121"/>
                <w:sz w:val="20"/>
                <w:szCs w:val="20"/>
                <w:bdr w:val="none" w:sz="0" w:space="0" w:color="auto" w:frame="1"/>
                <w:lang w:eastAsia="en-GB"/>
              </w:rPr>
              <w:t>Positive Behavio</w:t>
            </w:r>
            <w:r>
              <w:rPr>
                <w:rFonts w:ascii="Helvetica" w:eastAsia="Times New Roman" w:hAnsi="Helvetica" w:cs="Helvetica"/>
                <w:color w:val="212121"/>
                <w:sz w:val="20"/>
                <w:szCs w:val="20"/>
                <w:bdr w:val="none" w:sz="0" w:space="0" w:color="auto" w:frame="1"/>
                <w:lang w:eastAsia="en-GB"/>
              </w:rPr>
              <w:t>u</w:t>
            </w:r>
            <w:r w:rsidRPr="00AE7091">
              <w:rPr>
                <w:rFonts w:ascii="Helvetica" w:eastAsia="Times New Roman" w:hAnsi="Helvetica" w:cs="Helvetica"/>
                <w:color w:val="212121"/>
                <w:sz w:val="20"/>
                <w:szCs w:val="20"/>
                <w:bdr w:val="none" w:sz="0" w:space="0" w:color="auto" w:frame="1"/>
                <w:lang w:eastAsia="en-GB"/>
              </w:rPr>
              <w:t xml:space="preserve">r Support (PBS) </w:t>
            </w:r>
            <w:r>
              <w:rPr>
                <w:rFonts w:ascii="Helvetica" w:eastAsia="Times New Roman" w:hAnsi="Helvetica" w:cs="Helvetica"/>
                <w:color w:val="212121"/>
                <w:sz w:val="20"/>
                <w:szCs w:val="20"/>
                <w:bdr w:val="none" w:sz="0" w:space="0" w:color="auto" w:frame="1"/>
                <w:lang w:eastAsia="en-GB"/>
              </w:rPr>
              <w:t xml:space="preserve">- </w:t>
            </w:r>
            <w:r w:rsidRPr="00AE7091">
              <w:rPr>
                <w:rFonts w:ascii="Helvetica" w:eastAsia="Times New Roman" w:hAnsi="Helvetica" w:cs="Helvetica"/>
                <w:color w:val="212121"/>
                <w:sz w:val="20"/>
                <w:szCs w:val="20"/>
                <w:bdr w:val="none" w:sz="0" w:space="0" w:color="auto" w:frame="1"/>
                <w:lang w:eastAsia="en-GB"/>
              </w:rPr>
              <w:t>a set of research-based strategies</w:t>
            </w:r>
            <w:r>
              <w:rPr>
                <w:rFonts w:ascii="Helvetica" w:eastAsia="Times New Roman" w:hAnsi="Helvetica" w:cs="Helvetica"/>
                <w:color w:val="212121"/>
                <w:sz w:val="20"/>
                <w:szCs w:val="20"/>
                <w:bdr w:val="none" w:sz="0" w:space="0" w:color="auto" w:frame="1"/>
                <w:lang w:eastAsia="en-GB"/>
              </w:rPr>
              <w:t xml:space="preserve"> which aim </w:t>
            </w:r>
            <w:r w:rsidRPr="00AE7091">
              <w:rPr>
                <w:rFonts w:ascii="Helvetica" w:eastAsia="Times New Roman" w:hAnsi="Helvetica" w:cs="Helvetica"/>
                <w:color w:val="212121"/>
                <w:sz w:val="20"/>
                <w:szCs w:val="20"/>
                <w:bdr w:val="none" w:sz="0" w:space="0" w:color="auto" w:frame="1"/>
                <w:lang w:eastAsia="en-GB"/>
              </w:rPr>
              <w:t>to increase quality of life, happiness, wellbeing and decrease concerning behaviours that can challenge everyone. By </w:t>
            </w:r>
            <w:r w:rsidRPr="00AE7091">
              <w:rPr>
                <w:rFonts w:ascii="Helvetica" w:eastAsia="Times New Roman" w:hAnsi="Helvetica" w:cs="Helvetica"/>
                <w:color w:val="000000"/>
                <w:sz w:val="20"/>
                <w:szCs w:val="20"/>
                <w:bdr w:val="none" w:sz="0" w:space="0" w:color="auto" w:frame="1"/>
                <w:lang w:eastAsia="en-GB"/>
              </w:rPr>
              <w:t>trying to understand the meaning of the behaviour</w:t>
            </w:r>
            <w:r w:rsidRPr="00AE7091">
              <w:rPr>
                <w:rFonts w:ascii="Helvetica" w:eastAsia="Times New Roman" w:hAnsi="Helvetica" w:cs="Helvetica"/>
                <w:color w:val="212121"/>
                <w:sz w:val="20"/>
                <w:szCs w:val="20"/>
                <w:bdr w:val="none" w:sz="0" w:space="0" w:color="auto" w:frame="1"/>
                <w:lang w:eastAsia="en-GB"/>
              </w:rPr>
              <w:t> we can be mindful of the new skills we teach, make supportive changes in a person's environment and modify our own actions, so we may meet their needs. </w:t>
            </w:r>
          </w:p>
          <w:p w14:paraId="0C6C6224" w14:textId="77777777" w:rsidR="00A37F5C" w:rsidRPr="00EA4217" w:rsidRDefault="00A37F5C" w:rsidP="005D16ED">
            <w:pPr>
              <w:shd w:val="clear" w:color="auto" w:fill="FFFFFF"/>
              <w:textAlignment w:val="baseline"/>
              <w:rPr>
                <w:rFonts w:ascii="Helvetica" w:eastAsia="Times New Roman" w:hAnsi="Helvetica" w:cs="Helvetica"/>
                <w:color w:val="212121"/>
                <w:sz w:val="20"/>
                <w:szCs w:val="20"/>
                <w:lang w:eastAsia="en-GB"/>
              </w:rPr>
            </w:pPr>
          </w:p>
        </w:tc>
      </w:tr>
      <w:tr w:rsidR="00A37F5C" w14:paraId="64D34FAB" w14:textId="77777777" w:rsidTr="00A37F5C">
        <w:tc>
          <w:tcPr>
            <w:tcW w:w="10632" w:type="dxa"/>
            <w:gridSpan w:val="2"/>
          </w:tcPr>
          <w:p w14:paraId="05A34D26" w14:textId="77777777" w:rsidR="00A37F5C" w:rsidRPr="00D2745E" w:rsidRDefault="00A37F5C" w:rsidP="005D16ED">
            <w:pPr>
              <w:jc w:val="center"/>
              <w:rPr>
                <w:b/>
                <w:color w:val="FF0000"/>
              </w:rPr>
            </w:pPr>
            <w:r w:rsidRPr="00D2745E">
              <w:rPr>
                <w:b/>
                <w:color w:val="FF0000"/>
              </w:rPr>
              <w:t xml:space="preserve">OR </w:t>
            </w:r>
          </w:p>
        </w:tc>
      </w:tr>
      <w:tr w:rsidR="00A37F5C" w14:paraId="587D8B60" w14:textId="77777777" w:rsidTr="00A37F5C">
        <w:tc>
          <w:tcPr>
            <w:tcW w:w="5093" w:type="dxa"/>
          </w:tcPr>
          <w:p w14:paraId="19A43B0D" w14:textId="77777777" w:rsidR="00A37F5C" w:rsidRDefault="00A37F5C" w:rsidP="005D16ED"/>
          <w:p w14:paraId="4C7A12BA" w14:textId="77777777" w:rsidR="00A37F5C" w:rsidRDefault="00A37F5C" w:rsidP="005D16ED">
            <w:r>
              <w:rPr>
                <w:noProof/>
              </w:rPr>
              <w:drawing>
                <wp:inline distT="0" distB="0" distL="0" distR="0" wp14:anchorId="363E2702" wp14:editId="2EDB48DA">
                  <wp:extent cx="2776978" cy="19907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6267" cy="2033227"/>
                          </a:xfrm>
                          <a:prstGeom prst="rect">
                            <a:avLst/>
                          </a:prstGeom>
                          <a:noFill/>
                          <a:ln>
                            <a:noFill/>
                          </a:ln>
                        </pic:spPr>
                      </pic:pic>
                    </a:graphicData>
                  </a:graphic>
                </wp:inline>
              </w:drawing>
            </w:r>
          </w:p>
          <w:p w14:paraId="022D3B79" w14:textId="77777777" w:rsidR="00A37F5C" w:rsidRDefault="00A37F5C" w:rsidP="005D16ED"/>
        </w:tc>
        <w:tc>
          <w:tcPr>
            <w:tcW w:w="5539" w:type="dxa"/>
          </w:tcPr>
          <w:p w14:paraId="1C4F3287" w14:textId="77777777" w:rsidR="00A37F5C" w:rsidRDefault="00A37F5C" w:rsidP="005D16ED">
            <w:pPr>
              <w:rPr>
                <w:b/>
                <w:color w:val="ED7D31" w:themeColor="accent2"/>
              </w:rPr>
            </w:pPr>
          </w:p>
          <w:p w14:paraId="255226E9" w14:textId="2E49EF1E" w:rsidR="00A37F5C" w:rsidRDefault="00A37F5C" w:rsidP="005D16ED">
            <w:r w:rsidRPr="00CB28E6">
              <w:rPr>
                <w:b/>
                <w:color w:val="ED7D31" w:themeColor="accent2"/>
              </w:rPr>
              <w:t>Finding SEND Information (the ‘Local Offer’</w:t>
            </w:r>
            <w:r>
              <w:rPr>
                <w:b/>
                <w:color w:val="ED7D31" w:themeColor="accent2"/>
              </w:rPr>
              <w:t>)</w:t>
            </w:r>
            <w:r w:rsidRPr="00CB28E6">
              <w:rPr>
                <w:b/>
                <w:color w:val="ED7D31" w:themeColor="accent2"/>
              </w:rPr>
              <w:t xml:space="preserve"> </w:t>
            </w:r>
            <w:r>
              <w:rPr>
                <w:b/>
                <w:color w:val="ED7D31" w:themeColor="accent2"/>
              </w:rPr>
              <w:t xml:space="preserve">(room 4) </w:t>
            </w:r>
          </w:p>
          <w:p w14:paraId="5BAB7629" w14:textId="77777777" w:rsidR="00A37F5C" w:rsidRDefault="00A37F5C" w:rsidP="005D16ED"/>
          <w:p w14:paraId="5BE0E19A" w14:textId="77777777" w:rsidR="00A37F5C" w:rsidRDefault="00A37F5C" w:rsidP="005D16ED">
            <w:r>
              <w:t xml:space="preserve">This workshop will explore how to find out information about services and support available for Special Educational Needs and Disabilities, in the Enfield area. We will explore how to navigate your way around the complex information available and how to use the Enfield ‘Local Offer’ - a one-stop-shop that aims to cover everything you need to know. You will have an opportunity to give your input on what information you would like to see included, and whether the layout works for you. </w:t>
            </w:r>
          </w:p>
          <w:p w14:paraId="5D3BC190" w14:textId="77777777" w:rsidR="00A37F5C" w:rsidRDefault="00A37F5C" w:rsidP="005D16ED"/>
        </w:tc>
      </w:tr>
    </w:tbl>
    <w:p w14:paraId="600ED72A" w14:textId="77777777" w:rsidR="00A37F5C" w:rsidRDefault="00A37F5C" w:rsidP="00A37F5C"/>
    <w:tbl>
      <w:tblPr>
        <w:tblStyle w:val="TableGrid"/>
        <w:tblW w:w="10632" w:type="dxa"/>
        <w:tblInd w:w="-431" w:type="dxa"/>
        <w:tblLook w:val="04A0" w:firstRow="1" w:lastRow="0" w:firstColumn="1" w:lastColumn="0" w:noHBand="0" w:noVBand="1"/>
      </w:tblPr>
      <w:tblGrid>
        <w:gridCol w:w="4315"/>
        <w:gridCol w:w="6317"/>
      </w:tblGrid>
      <w:tr w:rsidR="00A37F5C" w14:paraId="161220A6" w14:textId="77777777" w:rsidTr="00A37F5C">
        <w:tc>
          <w:tcPr>
            <w:tcW w:w="10632" w:type="dxa"/>
            <w:gridSpan w:val="2"/>
          </w:tcPr>
          <w:p w14:paraId="34615BF9" w14:textId="77777777" w:rsidR="00A37F5C" w:rsidRPr="00CB28E6" w:rsidRDefault="00A37F5C" w:rsidP="005D16ED">
            <w:pPr>
              <w:jc w:val="center"/>
              <w:rPr>
                <w:b/>
                <w:color w:val="A5A5A5" w:themeColor="accent3"/>
                <w:sz w:val="28"/>
                <w:szCs w:val="28"/>
              </w:rPr>
            </w:pPr>
            <w:r w:rsidRPr="00A37F5C">
              <w:rPr>
                <w:b/>
                <w:color w:val="ED7D31" w:themeColor="accent2"/>
                <w:sz w:val="28"/>
                <w:szCs w:val="28"/>
              </w:rPr>
              <w:t xml:space="preserve">1.30 pm to 2.30 pm </w:t>
            </w:r>
          </w:p>
        </w:tc>
      </w:tr>
      <w:tr w:rsidR="00A37F5C" w14:paraId="48F96DDA" w14:textId="77777777" w:rsidTr="00A37F5C">
        <w:tc>
          <w:tcPr>
            <w:tcW w:w="4315" w:type="dxa"/>
          </w:tcPr>
          <w:p w14:paraId="507B34D4" w14:textId="77777777" w:rsidR="00A37F5C" w:rsidRDefault="00A37F5C" w:rsidP="005D16ED">
            <w:r>
              <w:rPr>
                <w:noProof/>
              </w:rPr>
              <w:drawing>
                <wp:anchor distT="0" distB="0" distL="114300" distR="114300" simplePos="0" relativeHeight="251662336" behindDoc="0" locked="0" layoutInCell="1" allowOverlap="1" wp14:anchorId="73B509E6" wp14:editId="0349B2B8">
                  <wp:simplePos x="0" y="0"/>
                  <wp:positionH relativeFrom="margin">
                    <wp:posOffset>169583</wp:posOffset>
                  </wp:positionH>
                  <wp:positionV relativeFrom="margin">
                    <wp:posOffset>86659</wp:posOffset>
                  </wp:positionV>
                  <wp:extent cx="2000885" cy="1334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885" cy="1334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17" w:type="dxa"/>
          </w:tcPr>
          <w:p w14:paraId="21A68F85" w14:textId="77777777" w:rsidR="00A37F5C" w:rsidRDefault="00A37F5C" w:rsidP="005D16ED">
            <w:pPr>
              <w:rPr>
                <w:b/>
                <w:color w:val="ED7D31" w:themeColor="accent2"/>
              </w:rPr>
            </w:pPr>
          </w:p>
          <w:p w14:paraId="0DDCA761" w14:textId="15938961" w:rsidR="00A37F5C" w:rsidRPr="00CB28E6" w:rsidRDefault="00A37F5C" w:rsidP="005D16ED">
            <w:pPr>
              <w:rPr>
                <w:b/>
                <w:color w:val="ED7D31" w:themeColor="accent2"/>
              </w:rPr>
            </w:pPr>
            <w:r w:rsidRPr="00CB28E6">
              <w:rPr>
                <w:b/>
                <w:color w:val="ED7D31" w:themeColor="accent2"/>
              </w:rPr>
              <w:t xml:space="preserve">Speech and Language </w:t>
            </w:r>
            <w:r>
              <w:rPr>
                <w:b/>
                <w:color w:val="ED7D31" w:themeColor="accent2"/>
              </w:rPr>
              <w:t>(room 2/3)</w:t>
            </w:r>
          </w:p>
          <w:p w14:paraId="650DE158" w14:textId="77777777" w:rsidR="00A37F5C" w:rsidRDefault="00A37F5C" w:rsidP="005D16ED"/>
          <w:p w14:paraId="608AD425" w14:textId="77777777" w:rsidR="00A37F5C" w:rsidRPr="00CB28E6" w:rsidRDefault="00A37F5C" w:rsidP="005D16ED">
            <w:pPr>
              <w:rPr>
                <w:color w:val="000000" w:themeColor="text1"/>
              </w:rPr>
            </w:pPr>
            <w:r>
              <w:rPr>
                <w:color w:val="000000" w:themeColor="text1"/>
              </w:rPr>
              <w:t xml:space="preserve">This workshop with the Enfield Speech and Language team will look at tools to support children who have difficulties with communication, and how parents can use different tools such as ‘Talking Mats’ to enable their children to voice their wishes and aspirations. </w:t>
            </w:r>
          </w:p>
        </w:tc>
      </w:tr>
      <w:tr w:rsidR="00A37F5C" w14:paraId="7FE199BB" w14:textId="77777777" w:rsidTr="00A37F5C">
        <w:tc>
          <w:tcPr>
            <w:tcW w:w="10632" w:type="dxa"/>
            <w:gridSpan w:val="2"/>
          </w:tcPr>
          <w:p w14:paraId="23F818F1" w14:textId="77777777" w:rsidR="00A37F5C" w:rsidRPr="00D2745E" w:rsidRDefault="00A37F5C" w:rsidP="005D16ED">
            <w:pPr>
              <w:jc w:val="center"/>
              <w:rPr>
                <w:b/>
                <w:color w:val="FF0000"/>
              </w:rPr>
            </w:pPr>
            <w:r w:rsidRPr="00D2745E">
              <w:rPr>
                <w:b/>
                <w:color w:val="FF0000"/>
              </w:rPr>
              <w:t>OR</w:t>
            </w:r>
          </w:p>
        </w:tc>
      </w:tr>
      <w:tr w:rsidR="00A37F5C" w14:paraId="3E4778BD" w14:textId="77777777" w:rsidTr="00A37F5C">
        <w:tc>
          <w:tcPr>
            <w:tcW w:w="4315" w:type="dxa"/>
          </w:tcPr>
          <w:p w14:paraId="0CD3A661" w14:textId="77777777" w:rsidR="00A37F5C" w:rsidRDefault="00A37F5C" w:rsidP="005D16ED">
            <w:r>
              <w:rPr>
                <w:noProof/>
              </w:rPr>
              <w:drawing>
                <wp:inline distT="0" distB="0" distL="0" distR="0" wp14:anchorId="3D5A018E" wp14:editId="40FA6DB8">
                  <wp:extent cx="2329610" cy="1215614"/>
                  <wp:effectExtent l="0" t="0" r="0" b="0"/>
                  <wp:docPr id="4" name="Picture 4" descr="Moving 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ng 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763" cy="1253786"/>
                          </a:xfrm>
                          <a:prstGeom prst="rect">
                            <a:avLst/>
                          </a:prstGeom>
                          <a:noFill/>
                          <a:ln>
                            <a:noFill/>
                          </a:ln>
                        </pic:spPr>
                      </pic:pic>
                    </a:graphicData>
                  </a:graphic>
                </wp:inline>
              </w:drawing>
            </w:r>
          </w:p>
        </w:tc>
        <w:tc>
          <w:tcPr>
            <w:tcW w:w="6317" w:type="dxa"/>
          </w:tcPr>
          <w:p w14:paraId="2EA28C10" w14:textId="77777777" w:rsidR="00A37F5C" w:rsidRDefault="00A37F5C" w:rsidP="005D16ED">
            <w:pPr>
              <w:rPr>
                <w:b/>
                <w:color w:val="ED7D31" w:themeColor="accent2"/>
              </w:rPr>
            </w:pPr>
          </w:p>
          <w:p w14:paraId="2CE41DD3" w14:textId="0046AC17" w:rsidR="00A37F5C" w:rsidRPr="00CB28E6" w:rsidRDefault="00A37F5C" w:rsidP="005D16ED">
            <w:pPr>
              <w:rPr>
                <w:b/>
                <w:color w:val="ED7D31" w:themeColor="accent2"/>
              </w:rPr>
            </w:pPr>
            <w:r w:rsidRPr="00CB28E6">
              <w:rPr>
                <w:b/>
                <w:color w:val="ED7D31" w:themeColor="accent2"/>
              </w:rPr>
              <w:t xml:space="preserve">Moving on </w:t>
            </w:r>
            <w:r>
              <w:rPr>
                <w:b/>
                <w:color w:val="ED7D31" w:themeColor="accent2"/>
              </w:rPr>
              <w:t xml:space="preserve">(room 4) </w:t>
            </w:r>
          </w:p>
          <w:p w14:paraId="46590397" w14:textId="77777777" w:rsidR="00A37F5C" w:rsidRDefault="00A37F5C" w:rsidP="005D16ED"/>
          <w:p w14:paraId="5FEB8CD3" w14:textId="77777777" w:rsidR="00A37F5C" w:rsidRDefault="00A37F5C" w:rsidP="005D16ED">
            <w:r>
              <w:t>This session is aimed at the parents of young people aged 14 and over and aims to explore the ways in which you can support your young person through the transition, and the support available to you. We will look at some of the issues associated with moving towards adulthood and increasing independence, such as finding employment.</w:t>
            </w:r>
          </w:p>
          <w:p w14:paraId="6A8653BD" w14:textId="77777777" w:rsidR="00A37F5C" w:rsidRDefault="00A37F5C" w:rsidP="005D16ED"/>
        </w:tc>
      </w:tr>
    </w:tbl>
    <w:p w14:paraId="4B1D4858" w14:textId="77777777" w:rsidR="00A37F5C" w:rsidRDefault="00A37F5C"/>
    <w:sectPr w:rsidR="00A37F5C" w:rsidSect="005E3E99">
      <w:pgSz w:w="11906" w:h="16838"/>
      <w:pgMar w:top="567" w:right="127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5B306" w14:textId="77777777" w:rsidR="00B20F96" w:rsidRDefault="00B20F96" w:rsidP="005E3E99">
      <w:pPr>
        <w:spacing w:after="0" w:line="240" w:lineRule="auto"/>
      </w:pPr>
      <w:r>
        <w:separator/>
      </w:r>
    </w:p>
  </w:endnote>
  <w:endnote w:type="continuationSeparator" w:id="0">
    <w:p w14:paraId="0978F34F" w14:textId="77777777" w:rsidR="00B20F96" w:rsidRDefault="00B20F96" w:rsidP="005E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1F7C" w14:textId="77777777" w:rsidR="00B20F96" w:rsidRDefault="00B20F96" w:rsidP="005E3E99">
      <w:pPr>
        <w:spacing w:after="0" w:line="240" w:lineRule="auto"/>
      </w:pPr>
      <w:r>
        <w:separator/>
      </w:r>
    </w:p>
  </w:footnote>
  <w:footnote w:type="continuationSeparator" w:id="0">
    <w:p w14:paraId="12A4F258" w14:textId="77777777" w:rsidR="00B20F96" w:rsidRDefault="00B20F96" w:rsidP="005E3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99"/>
    <w:rsid w:val="0035523B"/>
    <w:rsid w:val="005E3E99"/>
    <w:rsid w:val="00665F60"/>
    <w:rsid w:val="00A37F5C"/>
    <w:rsid w:val="00B2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D87E9"/>
  <w15:chartTrackingRefBased/>
  <w15:docId w15:val="{10685EDC-1F1E-4B2D-B63E-E383F437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37F5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11">
    <w:name w:val="Grid Table 2 - Accent 11"/>
    <w:basedOn w:val="TableNormal"/>
    <w:next w:val="GridTable2-Accent1"/>
    <w:uiPriority w:val="47"/>
    <w:rsid w:val="005E3E99"/>
    <w:pPr>
      <w:spacing w:after="0" w:line="240" w:lineRule="auto"/>
    </w:pPr>
    <w:rPr>
      <w:rFonts w:eastAsia="Times New Roman"/>
      <w:lang w:val="en-US" w:eastAsia="ja-JP"/>
    </w:rPr>
    <w:tblPr>
      <w:tblStyleRowBandSize w:val="1"/>
      <w:tblStyleColBandSize w:val="1"/>
      <w:tblBorders>
        <w:top w:val="single" w:sz="2" w:space="0" w:color="FFC184"/>
        <w:bottom w:val="single" w:sz="2" w:space="0" w:color="FFC184"/>
        <w:insideH w:val="single" w:sz="2" w:space="0" w:color="FFC184"/>
        <w:insideV w:val="single" w:sz="2" w:space="0" w:color="FFC184"/>
      </w:tblBorders>
    </w:tblPr>
    <w:tblStylePr w:type="firstRow">
      <w:rPr>
        <w:b/>
        <w:bCs/>
      </w:rPr>
      <w:tblPr/>
      <w:tcPr>
        <w:tcBorders>
          <w:top w:val="nil"/>
          <w:bottom w:val="single" w:sz="12" w:space="0" w:color="FFC184"/>
          <w:insideH w:val="nil"/>
          <w:insideV w:val="nil"/>
        </w:tcBorders>
        <w:shd w:val="clear" w:color="auto" w:fill="FFFFFF"/>
      </w:tcPr>
    </w:tblStylePr>
    <w:tblStylePr w:type="lastRow">
      <w:rPr>
        <w:b/>
        <w:bCs/>
      </w:rPr>
      <w:tblPr/>
      <w:tcPr>
        <w:tcBorders>
          <w:top w:val="double" w:sz="2" w:space="0" w:color="FFC18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AD6"/>
      </w:tcPr>
    </w:tblStylePr>
    <w:tblStylePr w:type="band1Horz">
      <w:tblPr/>
      <w:tcPr>
        <w:shd w:val="clear" w:color="auto" w:fill="FFEAD6"/>
      </w:tcPr>
    </w:tblStylePr>
  </w:style>
  <w:style w:type="table" w:styleId="GridTable2-Accent1">
    <w:name w:val="Grid Table 2 Accent 1"/>
    <w:basedOn w:val="TableNormal"/>
    <w:uiPriority w:val="47"/>
    <w:rsid w:val="005E3E9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5E3E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3E9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3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E99"/>
  </w:style>
  <w:style w:type="paragraph" w:styleId="Footer">
    <w:name w:val="footer"/>
    <w:basedOn w:val="Normal"/>
    <w:link w:val="FooterChar"/>
    <w:uiPriority w:val="99"/>
    <w:unhideWhenUsed/>
    <w:rsid w:val="005E3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E99"/>
  </w:style>
  <w:style w:type="character" w:customStyle="1" w:styleId="Heading2Char">
    <w:name w:val="Heading 2 Char"/>
    <w:basedOn w:val="DefaultParagraphFont"/>
    <w:link w:val="Heading2"/>
    <w:uiPriority w:val="9"/>
    <w:rsid w:val="00A37F5C"/>
    <w:rPr>
      <w:rFonts w:asciiTheme="majorHAnsi" w:eastAsiaTheme="majorEastAsia" w:hAnsiTheme="majorHAnsi" w:cstheme="majorBidi"/>
      <w:color w:val="C45911" w:themeColor="accent2" w:themeShade="BF"/>
      <w:sz w:val="28"/>
      <w:szCs w:val="28"/>
      <w:lang w:eastAsia="ja-JP"/>
    </w:rPr>
  </w:style>
  <w:style w:type="table" w:styleId="TableGrid">
    <w:name w:val="Table Grid"/>
    <w:basedOn w:val="TableNormal"/>
    <w:uiPriority w:val="39"/>
    <w:rsid w:val="00A37F5C"/>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438</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Fazilla Amide</dc:creator>
  <cp:keywords/>
  <dc:description/>
  <cp:lastModifiedBy>Fazilla Amide</cp:lastModifiedBy>
  <cp:revision>3</cp:revision>
  <cp:lastPrinted>2019-02-01T16:57:00Z</cp:lastPrinted>
  <dcterms:created xsi:type="dcterms:W3CDTF">2019-02-01T16:32:00Z</dcterms:created>
  <dcterms:modified xsi:type="dcterms:W3CDTF">2019-02-01T16:59:00Z</dcterms:modified>
</cp:coreProperties>
</file>